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59 vom 17. Dezember 2019</w:t>
      </w:r>
    </w:p>
    <w:p>
      <w:r>
        <w:t>GR Gerichte, 2019-12-17, DE</w:t>
      </w:r>
    </w:p>
    <w:p>
      <w:r>
        <w:rPr>
          <w:b/>
        </w:rPr>
        <w:t xml:space="preserve">Quelle: </w:t>
      </w:r>
      <w:r>
        <w:t>https://mcp.opencaselaw.ch/entscheid/gr_gerichte_KSK 2019 59</w:t>
      </w:r>
    </w:p>
    <w:p>
      <w:r>
        <w:t>FR: GR_GERICHTE KSK 2019 59 du 17 décembre 2019</w:t>
      </w:r>
    </w:p>
    <w:p>
      <w:r>
        <w:t>IT: GR_GERICHTE KSK 2019 59 del 17 dicembre 2019</w:t>
      </w:r>
    </w:p>
    <w:p>
      <w:pPr>
        <w:pStyle w:val="Heading2"/>
      </w:pPr>
      <w:r>
        <w:t>Regeste</w:t>
      </w:r>
    </w:p>
    <w:p>
      <w:r>
        <w:t>Arrestvollzug | Aufsicht Beschwerde (SchKG 17 Abs. 1)</w:t>
      </w:r>
    </w:p>
    <w:p>
      <w:pPr>
        <w:pStyle w:val="Heading2"/>
      </w:pPr>
      <w:r>
        <w:t>Erwägungen</w:t>
      </w:r>
    </w:p>
    <w:p>
      <w:r>
        <w:rPr>
          <w:b/>
        </w:rPr>
        <w:t>E. 1</w:t>
      </w:r>
    </w:p>
    <w:p>
      <w:r>
        <w:t>Es sei die Arresturkunde vom 7. August 2019 des Betreibungsamts Prättigau/Davos und damit der Vollzug des Arrestes Nr. _____ [sic!] in Bezug auf die nachfolgend bezeichneten und vom Arrest erfassten Vermögenswerte für nichtig zu erklären und namentlich sei die Arrest- verfügung hinsichtlich der nachfolgenden in der Arresturkunde ge- nannten Arrestgegenstände vollumfänglich aufzuheben: - Arrestgegenstand Objekt Nr. 23: Grundstück Nr. _____ in O.1_____ der X._____ Liegenschaft Nr. _____, Plan Nr. _____, O.2_____, O.1_____ […] - Arrestgegenstand Objekt Nr. 33: StWE _____ in O.3_____ der X._____ inkl. Miet- und Pachtzinsen 11.2 […] - Arrestgegenstand Objekt Nr. 11: Forderungen, Dividenden und Ansprüche "Familienstiftung A._____"</w:t>
      </w:r>
    </w:p>
    <w:p>
      <w:r>
        <w:rPr>
          <w:b/>
        </w:rPr>
        <w:t>E. 1.1</w:t>
      </w:r>
    </w:p>
    <w:p>
      <w:r>
        <w:t>Beim Kantonsgericht von Graubünden sind diverse Aufsichtsbeschwerden hängig, die zu dem der vorliegenden Beschwerde zugrundeliegenden Sachverhalt einen engen Bezug aufweisen (vgl. KSK 19 53/54/55/56/60/61/62). In den Verfah- ren wird teilweise eine Vereinigung einzelner Verfahren beantragt. Zur Vereinfa- chung des Prozesses können unter anderem selbständig eingereichte Klagen ver- einigt werden (vgl. Art. 125 lit. c ZPO i.V.m. Art. 20a Abs. 3 SchKG i.v.m. Art. 17 Abs. 4 des Einführungsgesetzes zum Bundesgesetz über Schuldbetreibung und Konkurs [EGzSchKG; BR 220.000]). Eine Vereinigung der Verfahren (auch nur einzelner) erscheint dem Vorsitzenden der Aufsichtsbehörde über Schuldbetrei- bungs- und Konkurs des Kantonsgerichts von Graubünden nicht sachgemäss. Abgesehen davon, dass als Beschwerdegegner teilweise unterschiedliche Voll-</w:t>
      </w:r>
    </w:p>
    <w:p>
      <w:r>
        <w:t>5 / 11 zugsbehörden auftreten (Betreibungsämter Prättigau/Davos bzw. Plessur), würde eine Vereinigung der Beschwerdeverfahren eher zu einer Verkomplizierung führen. Denn die einzelnen Verfahren unterscheiden sich in spezifischen Aspek- ten, deren Ausarbeitung sowohl zu einer Aufblähung des Entscheides führten und damit der Übersichtlichkeit desselben schaden würden. Auch erhöhte die Vereini- gung die Fehleranfälligkeit. Letztlich ist auch nicht ersichtlich, dass durch die Ver- einigung der Verfahren eine schnellere Verfahrenserledigung resultierte. Durch die koordinierte Behandlung und Erledigung der separat geführten Verfahren ist so- dann auch gewährleistet, dass keine sich widersprechenden Entscheide ergehen. Vor diesem Hintergrund sind die Verfahren nicht zu vereinigen. Dabei ist berück- sichtigt, dass die Parteien ihre Vernehmlassungen bereits eingereicht haben und ihnen auch bei getrennter Verfahrensführung keine Kosten auferlegt werden.</w:t>
      </w:r>
    </w:p>
    <w:p>
      <w:r>
        <w:rPr>
          <w:b/>
        </w:rPr>
        <w:t>E. 1.2</w:t>
      </w:r>
    </w:p>
    <w:p>
      <w:r>
        <w:t>Mit ihrer Beschwerde gemäss Art. 17 SchKG wendet sich die Beschwerde- führerin gegen den durch das Lead-Betreibungsamt Prättigau/Davos durchgeführ- ten Arrestvollzug (Arrest Nr. _____) und verlangt dessen Aufhebung hinsichtlich der in der Arresturkunde vom 7. August 2019 aufgeführten Ziffern 23, 33, 11 und 13 (vgl. act. A.1, Begehren Ziffer 1; Akten Betreibungsamt Prättigau/Davos, Ord- ner, act. 8). Analog der Pfändung, welche Eingang in die Pfändungsurkunde fin- det, ist der Arrestvollzug, der seinen Niederschlag in der Arresturkunde findet, eine betreibungsamtliche Verfügung im Sinne von Art. 17 Abs. 1 SchKG und unterliegt insofern der dortigen Beschwerde an die Aufsichtsbehörde (vgl. auch Denise Weingart, Arrestabwehr – Die Stellung des Schuldners und des Dritten im Arrest- verfahren, Diss., Bern 2015, N 561; Urs Boller, Abwehrmassnahmen: Arrest- einsprache und Beschwerde, in: ZZZ 41/2017, S. 51).</w:t>
      </w:r>
    </w:p>
    <w:p>
      <w:r>
        <w:rPr>
          <w:b/>
        </w:rPr>
        <w:t>E. 1.3</w:t>
      </w:r>
    </w:p>
    <w:p>
      <w:r>
        <w:t>Die Beschwerdefrist beträgt grundsätzlich zehn Tage ab Kenntnisnahme der Verfügung (Art. 17 Abs. 2 SchKG), es sei denn, sie werde wegen Rechtsver- weigerung oder Rechtsverzögerung geführt bzw. es wird Nichtigkeit der selbigen geltend gemacht (vgl. Art. 17 Abs. 3 SchKG und Art. 22 Abs. 1 SchKG). Nach Art. 276 Abs. 2 SchKG wird dem Arrestschuldner eine Abschrift der Arresturkunde zu- gestellt. Diese vom Gesetz vorgeschriebene Art der Kenntnisgabe bildet folglich das die Beschwerdefrist auslösende Ereignis. Dasselbe muss aus Gründen der Rechtssicherheit auch für die zur Beschwerde legitimierten Dritten gelten, die ge- stützt auf Art. 276 Abs. 2 SchKG durch Mitteilung des Betreibungsamtes von der Arrestlegung erfahren (vgl. zum Ganzen Denise Weingart, a.a.O., N 597). In casu wurde der Beschwerdeführerin die Arrestlegung betreffend die erwähnten Objekte gemäss Arrestbefehl vom 10. Juli 2019 mit Zustellung der Arresturkunde vom 7. August 2019 am 8. August 2019 zur Kenntnis gebracht (act. B.1 und B.2).</w:t>
      </w:r>
    </w:p>
    <w:p>
      <w:r>
        <w:rPr>
          <w:b/>
        </w:rPr>
        <w:t>E. 4</w:t>
      </w:r>
    </w:p>
    <w:p>
      <w:r>
        <w:t>sämtliche Forderungen, Dividenden- und sonstige Ausschüt- tungsansprüche, die sich aus der (formellen) Aktionärsstellung der</w:t>
      </w:r>
    </w:p>
    <w:p>
      <w:r>
        <w:t>3 / 11 Familienstiftung "A._____", […], ergeben, insbesondere aus den 80 Namenaktien zu CHF 1'000 der X._____, […] - Arrestgegenstand Objekt Nr. 13: Forderungen, Dividenden- und sonstige Ausschüttungen "B._____"</w:t>
      </w:r>
    </w:p>
    <w:p>
      <w:r>
        <w:rPr>
          <w:b/>
        </w:rPr>
        <w:t>E. 6</w:t>
      </w:r>
    </w:p>
    <w:p>
      <w:r>
        <w:t>/ 11 Im Übrigen wurden der Beschwerdeführerin die Arrestierung der Arrestobjekte Nrn. 11 und 13 mit zwei separaten Arrestanzeigen vom 7. August 2019 am 8. Au- gust 2019 zur Kenntnis gebracht (vgl. act. B.3 und B.4). Die Beschwerde vom 19. August 2019 wurde damit zweifellos innert Frist erhoben. Eine allfällige Nichtigkeit wäre jederzeit von Amtes wegen zu prüfen (vgl. Art. 22 Abs. 1 SchKG). Darüber hinaus erfolgte die Beschwerde beim Kantonsgericht von Graubünden als einzige Aufsichtsbehörde bei der hierfür zuständigen Behörde (vgl. Art. 17 Abs. 1 SchKG i.V.m. Art. 13 EGzSchKG). 1.4.1. Die Legitimationsfrage zur Erhebung der betreibungsrechtlichen Aufsichts- beschwerde ist nicht ausdrücklich geregelt, bildet aber dennoch unumgängliche Prozessvoraussetzung für deren Erhebung. Nach Rechtsprechung und Lehre be- sitzt ein legitimationsbegründendes schutzwürdiges Interesse, wer durch die ange- fochtene Verfügung eines Vollstreckungsorganes in seinen rechtlich geschützten oder zumindest tatsächlichen Interessen betroffen und dadurch beschwert ist (Ur- teil des Bundesgerichts 5A_494/2010 vom 12. November 2010 E. .1; BGE 129 III 595 E. 3. m.w.H.). Ein schutzwürdiges Interesse hat namentlich auch der Drittan- sprecher des Arrestobjekts gegen den Arrestvollzug als solchen (vgl. BGE 115 IIII 125 E. 2. und 3 = Pra 79 Nr. 175; BGE 113 III 139 E. 3.b = Pra 78 Nr. 117). Zu beachten ist, dass infolge Mehrfachverweis die Bestimmungen der ZPO für das Verfahren vor der kantonalen Aufsichtsbehörde – als kantonales Verfahrensrecht – zur Anwendung gelangen, wenn weder der Bund noch der Kanton spezifischen Regeln vorsieht (vgl. Art. 17 Abs. 4 EGzSchKG i.V.m. 20a Abs. 3 SchKG).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Auflage, Zürich 2015, N 1 zu Art. 242 ZPO). Vor dem Hintergrund des Gesagten ist die Beschwerdeführerin durch den Arrest- vollzug als Dritteigentümerin der Arrestgegenstände bzw. Gläubigerin der arres- tierten Forderungen und als Adressatin der ihr gegenüber verfügten Anzeigen (act. A.1, Begehren Ziff. 1; act. B.3 und B.4) in ihren Rechten betroffen und damit zur Erhebung der Beschwerde grundsätzlich legitimiert. Indessen gilt zu beachten, dass das Betreibungsamt Prättigau/Davos mit Verfügung vom 11. September 2019 diverse mit Arrest belegte Grundstücke aus diesem entliess (vgl. act. E.2). Der Verfügung ist zu entnehmen, dass die Beschwerdegegnerin (Arrestgläubige- rin) es unterlassen hatte, bezüglich dieser Grundstücke innert Frist das Wider-</w:t>
      </w:r>
    </w:p>
    <w:p>
      <w:r>
        <w:rPr>
          <w:b/>
        </w:rPr>
        <w:t>E. 7</w:t>
      </w:r>
    </w:p>
    <w:p>
      <w:r>
        <w:t>/ 11 spruchsverfahren anzustrengen, sodass der Arrestbeschlag aufzuheben war. In Anwendung von Art. 20a Abs. 2 Ziff. 2 stellte der Vorsitzende der Aufsichtsbehör- de über Schuldbetreibung und Konkurs sodann von Amtes wegen fest, dass keine diese Verfügung betreffenden Rechtsmittel innert Frist eingereicht worden waren, sodass die verfügte Entlassung der darin bezeichneten Grundstücke aus dem Ar- rest unangefochten in Rechtskraft erwuchs. Mit der erwähnten Verfügung wurden insbesondere auch die mit vorliegender Beschwerde angefochtenen Arrestlegun- gen der Objekte Nr. 23 und 33 aufgehoben (vgl. act. E.2). Die Beschwerde ist da- mit im Umfang deren Wegfalls mangels Beschwer als gegenstandslos geworden abzuschreiben. 1.4.2. Einer eingehenderen Prüfung bedarf die Beschwerdelegitimation hinsicht- lich des Arrestvollzugs betreffend die übrigen Arrestobjekte Nr. 11 und Nr. 13 (vgl. Akten Betreibungsamt Prättigau/Davos, Ordner, Nr. 8). 1.4.3. Sämtliche Rügen, welche die materiellen Voraussetzungen des Arrests zum Gegenstand haben, sind grundsätzlich mit Einsprache gemäss Art. 278 SchKG geltend zu machen. Unter die materiellen Arrestvoraussetzungen fallen insbeson- dere auch die Vermögensgegenstände des Schuldners sowie deren Bestand (vgl. Art. 272 Abs. 1 Ziff. 3 SchKG). Da eine Beschwerde gemäss Art. 17 SchKG immer ausgeschlossen ist, wo eine gerichtliche Klage gegeben ist (vgl. Art. 17 Abs. 1 SchKG), fehlt es an der Beschwerdelegitimation, sodass auf die Rüge nicht einge- treten werden kann (vgl. auch BGE 129 III 203 = Pra 92 Nr. 140 E. 2.4.; Urs Boller, a.a.O., S. 52; Arthur Terekhov, Neuerungen im Betreibungsregisterrecht – von den diversen Schwachstellen des Art. 8a Abs. 3 lit. d SchKG, in: ZZZ 47/2019, S. 226). Das Betreibungsamt ist grundsätzlich verpflichtet, den vom Gericht ausgestellten Arrestbefehl zu vollziehen, ohne diesen inhaltlich zu überprüfen. Seine Kompeten- zen beschränken sich auf die formelle Überprüfung des Arrestbefehls und auf die eigentlichen Massnahmen des Arrestvollzugs (BGE 129 III 203 = Pra 92 Nr. 140). Einer Beschwerde zugänglich sind damit insbesondere folgende Rügen: Vollzug eines Arrests durch eine unzuständige Behörde oder eines von einer unzuständi- gen Behörde erlassenen Arrestbefehls: verspäteter oder unrichtiger Arrestvollzug; Vollzug eines formell ungenügenden Arrestbefehls, der z.B. nicht alle von Art. 274 Abs. 2 SchKG verlangten Angaben enthält oder der die Arrestgegenstände nicht klar genug bezeichnet bzw. individualisiert; Arrestierung unpfändbarer Vermö- genswerte; Arrestbefehl mit nicht existierenden Vermögensgegenständen; Arrest- befehl gegen einen verstorbenen Schuldner (vgl. BGE 129 III 203 = Pra 92 Nr. 140; BGE 130 III 579; Walter Stoffel, in: Staehelin/Bauer/Staehelin [Hrsg.], Basler Kommentar, Bundesgesetz über Schuldbetreibung und Konkurs, Bd. II, 2. Auflage,</w:t>
      </w:r>
    </w:p>
    <w:p>
      <w:r>
        <w:rPr>
          <w:b/>
        </w:rPr>
        <w:t>E. 8</w:t>
      </w:r>
    </w:p>
    <w:p>
      <w:r>
        <w:t>/ 11 Basel 2010, N 21 ff. zu Art. 274 SchKG; Felix Meier-Dieterle, in: Daniel Hunkeler [Hrsg.], Kurzkommentar, SchKG, 2. Auflage, Basel 2014, N 12 zu Art. 276 SchKG). Wenn sich der Arrestbefehl als unzweifelhaft nichtig erweist, muss es den Vollzug verweigern, denn der Vollzug eines nichtigen Befehls wäre nach Art. 22 SchKG ebenfalls nichtig (BGE 136 III 379 E. 3.1; vgl. zum Ganzen Urs Boller, a.a.O., S. 51). Von der Nichtigkeit einer Verfügung kann nur ausgegangen wer- den, wenn der ihr anhaftende Mangel besonders schwerwiegend ist, wenn er of- fensichtlich oder zumindest leicht erkennbar ist, und wenn die Rechtssicherheit durch die Nichtigerklärung nicht ernsthaft gefährdet wird (vgl. zum Ganzen Markus Dieth/Georg Wohl, in: Daniel Hunkeler [Hrsg.], Kurzkommentar, SchKG, 2. Aufla- ge, Basel 2014, N 1 zu Art. 22 SchKG). 1.4.4. Die Beschwerdeführerin trägt hinsichtlich der Arrestlegung von Objekt Nrn.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